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0" w:lineRule="auto"/>
        <w:jc w:val="center"/>
        <w:rPr/>
      </w:pPr>
      <w:bookmarkStart w:colFirst="0" w:colLast="0" w:name="_b63pslnevlee" w:id="0"/>
      <w:bookmarkEnd w:id="0"/>
      <w:r w:rsidDel="00000000" w:rsidR="00000000" w:rsidRPr="00000000">
        <w:rPr>
          <w:rtl w:val="0"/>
        </w:rPr>
        <w:t xml:space="preserve">Особенности использования цифровых тахографов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97167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3279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71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В нашей стране цифровые тахографы вошли в обращение с 16 июня 2010 года. С этого момента должны были ввести европейскую систему, но инфраструктура оказалась не подготовлена. Такая ситуация сложилась не только в нашей стране, но и в ряде других..</w:t>
      </w:r>
    </w:p>
    <w:p w:rsidR="00000000" w:rsidDel="00000000" w:rsidP="00000000" w:rsidRDefault="00000000" w:rsidRPr="00000000" w14:paraId="00000004">
      <w:pPr>
        <w:spacing w:after="200" w:before="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19621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2942" l="0" r="0" t="2568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Эти обстоятельства привели к тому, что первые карточки были выданы только к концу года тем странам, которые подписали ЕСТР. А согласно законодательству карточки должны быть выданы заранее, т.е. за 3 месяца.</w:t>
      </w:r>
    </w:p>
    <w:p w:rsidR="00000000" w:rsidDel="00000000" w:rsidP="00000000" w:rsidRDefault="00000000" w:rsidRPr="00000000" w14:paraId="00000006">
      <w:pPr>
        <w:pStyle w:val="Heading2"/>
        <w:spacing w:after="200" w:before="0" w:lineRule="auto"/>
        <w:jc w:val="both"/>
        <w:rPr/>
      </w:pPr>
      <w:bookmarkStart w:colFirst="0" w:colLast="0" w:name="_fgfybsir8vq7" w:id="1"/>
      <w:bookmarkEnd w:id="1"/>
      <w:r w:rsidDel="00000000" w:rsidR="00000000" w:rsidRPr="00000000">
        <w:rPr>
          <w:rtl w:val="0"/>
        </w:rPr>
        <w:t xml:space="preserve">Особенности оборудования</w:t>
      </w:r>
    </w:p>
    <w:p w:rsidR="00000000" w:rsidDel="00000000" w:rsidP="00000000" w:rsidRDefault="00000000" w:rsidRPr="00000000" w14:paraId="00000007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Обычные тахографы можно легко подделать, внеся правки в бумажный диск. Цифровой агрегат вскрыть невозможно, не говоря уже об изменении сохраненных данных. Они записываются на карту водителя, которая индивидуальна для каждого. Данные передаются на центральный компьютер транспортной компании.</w:t>
      </w:r>
    </w:p>
    <w:p w:rsidR="00000000" w:rsidDel="00000000" w:rsidP="00000000" w:rsidRDefault="00000000" w:rsidRPr="00000000" w14:paraId="00000008">
      <w:pPr>
        <w:pStyle w:val="Heading2"/>
        <w:spacing w:after="200" w:before="0" w:lineRule="auto"/>
        <w:jc w:val="both"/>
        <w:rPr/>
      </w:pPr>
      <w:bookmarkStart w:colFirst="0" w:colLast="0" w:name="_9rrz3jrj9qqu" w:id="2"/>
      <w:bookmarkEnd w:id="2"/>
      <w:r w:rsidDel="00000000" w:rsidR="00000000" w:rsidRPr="00000000">
        <w:rPr>
          <w:rtl w:val="0"/>
        </w:rPr>
        <w:t xml:space="preserve">Введение в обязательную установку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96215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34513" l="0" r="0" t="1991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Начиная с 23 января 2012 года тахограф был введен в обязательную установку на транспорт для пассажиро- и грузоперевозок. Это прописано в техническом регламенте по безопасности колёсных ТС. С 1 апреля 2013 года тахограф стал обязателен для всего транспорта во владении ИП и юр лиц, который эксплуатируется на территории РФ.</w:t>
      </w:r>
    </w:p>
    <w:p w:rsidR="00000000" w:rsidDel="00000000" w:rsidP="00000000" w:rsidRDefault="00000000" w:rsidRPr="00000000" w14:paraId="0000000B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Приказ Минтранса от 13 февраля 2013 года гласит, что существует несколько категорий транспорта, которые эксплуатируются на территории страны. Среди них: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М2 - ТС, где помимо мест водителя оборудовано больше 8 сидений (max масса не более 5 тонн);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М3 - аналогичные условия, только вес более 5 тонн;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N2 - грузовики с max массой от 3,5 до 12 тонн;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N3 - грузовики тяжелее 12 тонн.</w:t>
      </w:r>
    </w:p>
    <w:p w:rsidR="00000000" w:rsidDel="00000000" w:rsidP="00000000" w:rsidRDefault="00000000" w:rsidRPr="00000000" w14:paraId="00000010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16 декабря 2015 года был сформирован приказ Минтранса, вносящий изменения в предыдущий №273. Согласно его условиям все категории автомашин должны были быть оборудованы цифровым оборудованием до 1 июля 2016 года.</w:t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  <w:shd w:fill="f1f1f1" w:val="clear"/>
        <w:rtl w:val="0"/>
      </w:rPr>
      <w:t xml:space="preserve"> </w:t>
    </w:r>
    <w:hyperlink r:id="rId1">
      <w:r w:rsidDel="00000000" w:rsidR="00000000" w:rsidRPr="00000000">
        <w:rPr>
          <w:rFonts w:ascii="Roboto" w:cs="Roboto" w:eastAsia="Roboto" w:hAnsi="Roboto"/>
          <w:color w:val="0073aa"/>
          <w:sz w:val="20"/>
          <w:szCs w:val="20"/>
          <w:u w:val="single"/>
          <w:shd w:fill="f1f1f1" w:val="clear"/>
          <w:rtl w:val="0"/>
        </w:rPr>
        <w:t xml:space="preserve">https://gaz-card.ru/osobennosti-ispo…rovyh-tahografov/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gaz-card.ru/?p=3986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