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Rule="auto"/>
        <w:rPr/>
      </w:pPr>
      <w:bookmarkStart w:colFirst="0" w:colLast="0" w:name="_hitaj7pi53sc" w:id="0"/>
      <w:bookmarkEnd w:id="0"/>
      <w:r w:rsidDel="00000000" w:rsidR="00000000" w:rsidRPr="00000000">
        <w:rPr>
          <w:rtl w:val="0"/>
        </w:rPr>
        <w:t xml:space="preserve">Моторные масла и топливо "Газпром нефть" прошли испытание на марафоне "Шелковый путь"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4417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Внедорожники и грузовики во время гоночных соревнований в ралли заправлялись современным дизельным топливом “Опти” от “Газпром нефти”. Напомним, что десятидневный марафон “Шелковый путь” походил по территории сразу трёх стран: Монголия, РФ и Китай.</w:t>
      </w:r>
    </w:p>
    <w:p w:rsidR="00000000" w:rsidDel="00000000" w:rsidP="00000000" w:rsidRDefault="00000000" w:rsidRPr="00000000" w14:paraId="00000004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Компания выступает в качестве официального партнёра предоставления топлива уже в четвертый раз. Все это за счёт испытаний дизеля “Опти”, которые проходили в очень сложных условиях гонок с большим успехом. </w:t>
      </w:r>
    </w:p>
    <w:p w:rsidR="00000000" w:rsidDel="00000000" w:rsidP="00000000" w:rsidRDefault="00000000" w:rsidRPr="00000000" w14:paraId="00000005">
      <w:pPr>
        <w:spacing w:after="20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08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Всего это позволило завоевать доверие компании со стороны спортсменов и организаторов ралли. В гонки этого года включились новые участники - мотокоманда, которая аналогично будет заправляться бензином заправок “Газпромнефть”.</w:t>
      </w:r>
    </w:p>
    <w:p w:rsidR="00000000" w:rsidDel="00000000" w:rsidP="00000000" w:rsidRDefault="00000000" w:rsidRPr="00000000" w14:paraId="00000007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Ралли-рейд начался 6 июля в городе Иркутск и успешно завершился в городе “Дуньхуань” в Китае. За это время спортсмены смогли преодолеть 5000 км, которые поделены на 10 этапов. На всем маршруте в нашей стране во процессе остановок для технического обслуживания заправляли бензобак мотоциклов и автомобилей.</w:t>
        <w:br w:type="textWrapping"/>
        <w:t xml:space="preserve">В гонках, где принимают участие спортивные грузовики под управлением команды «МАЗ-СПОРТавто», для двигателей использовались масла для двигателей G-Energy Racing, которые также принадлежат компании “Газпром”. </w:t>
      </w:r>
    </w:p>
    <w:p w:rsidR="00000000" w:rsidDel="00000000" w:rsidP="00000000" w:rsidRDefault="00000000" w:rsidRPr="00000000" w14:paraId="00000008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Современные устройства диагностики позволили проверить их на присутствие посторонних примесей, степень выработки и динамику изменения кинематической вязкости. Контроль за качеством ГСМ проводили специалисты мобильной лаборатории. По результатам испытаний специалисты дали советы по повышению качества рецептур масел.</w:t>
      </w:r>
    </w:p>
    <w:p w:rsidR="00000000" w:rsidDel="00000000" w:rsidP="00000000" w:rsidRDefault="00000000" w:rsidRPr="00000000" w14:paraId="00000009">
      <w:pPr>
        <w:spacing w:after="200"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40640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Генеральный директор отдела по смазочным материалам отметил, что каждый длительный марафон ралли всегда считается проверкой для машин и испытанием команды спортсменов. Российская команда для совершенствования своих спортивных грузовиков всегда выбирает масло для двигателя G-Energy Racing. Эти условия дают компании возможно разрабатывать самое качественное и высокопроизводительное моторное масло, которое позволяет получать самые высокие достижения в области автоспорта.</w:t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shd w:fill="f1f1f1" w:val="clear"/>
        <w:rtl w:val="0"/>
      </w:rPr>
      <w:t xml:space="preserve"> </w:t>
    </w:r>
    <w:hyperlink r:id="rId1">
      <w:r w:rsidDel="00000000" w:rsidR="00000000" w:rsidRPr="00000000">
        <w:rPr>
          <w:rFonts w:ascii="Roboto" w:cs="Roboto" w:eastAsia="Roboto" w:hAnsi="Roboto"/>
          <w:color w:val="0073aa"/>
          <w:sz w:val="20"/>
          <w:szCs w:val="20"/>
          <w:u w:val="single"/>
          <w:shd w:fill="f1f1f1" w:val="clear"/>
          <w:rtl w:val="0"/>
        </w:rPr>
        <w:t xml:space="preserve">https://gaz-card.ru/motornye-masla-i…ne-shelkovyj-put/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gaz-card.ru/?p=3486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